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27A7" w:rsidRPr="00021961" w:rsidRDefault="00665998">
      <w:pPr>
        <w:rPr>
          <w:b/>
        </w:rPr>
      </w:pPr>
      <w:r w:rsidRPr="00021961">
        <w:rPr>
          <w:b/>
        </w:rPr>
        <w:t>Class 1 English</w:t>
      </w:r>
    </w:p>
    <w:p w:rsidR="00665998" w:rsidRDefault="00665998">
      <w:r>
        <w:t>English teaching and learning at Beaufront First School is based on a multi-stranded approach.</w:t>
      </w:r>
    </w:p>
    <w:p w:rsidR="00665998" w:rsidRDefault="00665998">
      <w:r>
        <w:t xml:space="preserve">In Class </w:t>
      </w:r>
      <w:proofErr w:type="gramStart"/>
      <w:r>
        <w:t>1 systematic phonics</w:t>
      </w:r>
      <w:proofErr w:type="gramEnd"/>
      <w:r>
        <w:t xml:space="preserve"> teaching underpins all reading and writing work. Security of knowledge of phonics for both writing and reading is established at every stage of the phonics programme. Detailed knowledge of the children ensures that they are taught precisely the skills that they need</w:t>
      </w:r>
      <w:r w:rsidR="0076630A">
        <w:t xml:space="preserve"> during daily phonics</w:t>
      </w:r>
      <w:bookmarkStart w:id="0" w:name="_GoBack"/>
      <w:bookmarkEnd w:id="0"/>
      <w:r w:rsidR="0076630A">
        <w:t xml:space="preserve"> session</w:t>
      </w:r>
      <w:r>
        <w:t>. As these skills become embedded the teaching of spelling rules and grammar assume ever more importance.</w:t>
      </w:r>
    </w:p>
    <w:p w:rsidR="00665998" w:rsidRPr="00C553AB" w:rsidRDefault="00665998">
      <w:r>
        <w:t>Alongside this detailed word</w:t>
      </w:r>
      <w:r w:rsidR="00A636DD">
        <w:t xml:space="preserve"> and sentence</w:t>
      </w:r>
      <w:r>
        <w:t xml:space="preserve"> level work, pupils are engaged by hearing, sharing and discussing a wide range of high quality texts. Individual reading takes place daily and focussed teaching of reading </w:t>
      </w:r>
      <w:r w:rsidR="00A636DD">
        <w:t>by guided reading takes place weekly for all Class One pupils.</w:t>
      </w:r>
      <w:r w:rsidR="00C553AB">
        <w:t xml:space="preserve"> We have a wide selection of individual reading books and guided reading texts which are constantly kept under review by our specialist Literacy staff.   </w:t>
      </w:r>
    </w:p>
    <w:p w:rsidR="00A636DD" w:rsidRDefault="00A636DD">
      <w:r>
        <w:t>We use cursive writing throughout the school and find that this facilitates not only fluent writing, but builds spelling confidence and security.</w:t>
      </w:r>
    </w:p>
    <w:p w:rsidR="00A636DD" w:rsidRDefault="00C81349">
      <w:r>
        <w:t>To tea</w:t>
      </w:r>
      <w:r w:rsidR="00A636DD">
        <w:t>ch writing, we follow a “reading through to writing” and a “talk through to writing” approach. This enables the children to deconstruct texts and sentences to understand the writer’s craft and then practise their own skills orally as they put pencil to paper themselves. We start</w:t>
      </w:r>
      <w:r w:rsidR="0036295D">
        <w:t xml:space="preserve"> each unit of</w:t>
      </w:r>
      <w:r w:rsidR="00A636DD">
        <w:t xml:space="preserve"> our teaching of writing with a really interesting and engaging text.</w:t>
      </w:r>
    </w:p>
    <w:p w:rsidR="0036295D" w:rsidRDefault="00A636DD">
      <w:r>
        <w:t xml:space="preserve">Children in Class one are expected to take part in regular English homework which is designed carefully to reinforce the individual skills of each child. </w:t>
      </w:r>
    </w:p>
    <w:p w:rsidR="00C553AB" w:rsidRDefault="00C553AB">
      <w:r>
        <w:t>The tables below give an overview of the specific skills taught to each year group.</w:t>
      </w:r>
    </w:p>
    <w:p w:rsidR="0036295D" w:rsidRPr="00021961" w:rsidRDefault="00127BF7">
      <w:pPr>
        <w:rPr>
          <w:b/>
        </w:rPr>
      </w:pPr>
      <w:proofErr w:type="gramStart"/>
      <w:r w:rsidRPr="00021961">
        <w:rPr>
          <w:b/>
        </w:rPr>
        <w:t>Year One Programme of Study.</w:t>
      </w:r>
      <w:proofErr w:type="gramEnd"/>
    </w:p>
    <w:tbl>
      <w:tblPr>
        <w:tblStyle w:val="TableGrid"/>
        <w:tblW w:w="0" w:type="auto"/>
        <w:tblLook w:val="04A0" w:firstRow="1" w:lastRow="0" w:firstColumn="1" w:lastColumn="0" w:noHBand="0" w:noVBand="1"/>
      </w:tblPr>
      <w:tblGrid>
        <w:gridCol w:w="3080"/>
        <w:gridCol w:w="3081"/>
        <w:gridCol w:w="3081"/>
      </w:tblGrid>
      <w:tr w:rsidR="00C553AB" w:rsidRPr="0036295D" w:rsidTr="00C553AB">
        <w:tc>
          <w:tcPr>
            <w:tcW w:w="3080" w:type="dxa"/>
          </w:tcPr>
          <w:p w:rsidR="00C553AB" w:rsidRPr="0036295D" w:rsidRDefault="00C553AB">
            <w:pPr>
              <w:rPr>
                <w:b/>
              </w:rPr>
            </w:pPr>
            <w:r w:rsidRPr="0036295D">
              <w:rPr>
                <w:b/>
              </w:rPr>
              <w:t xml:space="preserve">Reading </w:t>
            </w:r>
          </w:p>
        </w:tc>
        <w:tc>
          <w:tcPr>
            <w:tcW w:w="3081" w:type="dxa"/>
          </w:tcPr>
          <w:p w:rsidR="00C553AB" w:rsidRPr="0036295D" w:rsidRDefault="00C553AB">
            <w:pPr>
              <w:rPr>
                <w:b/>
              </w:rPr>
            </w:pPr>
            <w:r w:rsidRPr="0036295D">
              <w:rPr>
                <w:b/>
              </w:rPr>
              <w:t>Writing</w:t>
            </w:r>
          </w:p>
        </w:tc>
        <w:tc>
          <w:tcPr>
            <w:tcW w:w="3081" w:type="dxa"/>
          </w:tcPr>
          <w:p w:rsidR="00C553AB" w:rsidRPr="0036295D" w:rsidRDefault="00C553AB">
            <w:pPr>
              <w:rPr>
                <w:b/>
              </w:rPr>
            </w:pPr>
            <w:r w:rsidRPr="0036295D">
              <w:rPr>
                <w:b/>
              </w:rPr>
              <w:t>Grammar</w:t>
            </w:r>
          </w:p>
        </w:tc>
      </w:tr>
      <w:tr w:rsidR="00C553AB" w:rsidRPr="0036295D" w:rsidTr="00C553AB">
        <w:tc>
          <w:tcPr>
            <w:tcW w:w="3080" w:type="dxa"/>
          </w:tcPr>
          <w:p w:rsidR="00C553AB" w:rsidRPr="0036295D" w:rsidRDefault="00C553AB">
            <w:pPr>
              <w:rPr>
                <w:sz w:val="20"/>
                <w:szCs w:val="20"/>
              </w:rPr>
            </w:pPr>
            <w:r w:rsidRPr="0036295D">
              <w:rPr>
                <w:sz w:val="20"/>
                <w:szCs w:val="20"/>
              </w:rPr>
              <w:t>Match graphemes (spelling patterns) for all phonemes (sounds).</w:t>
            </w:r>
          </w:p>
        </w:tc>
        <w:tc>
          <w:tcPr>
            <w:tcW w:w="3081" w:type="dxa"/>
          </w:tcPr>
          <w:p w:rsidR="00C553AB" w:rsidRPr="0036295D" w:rsidRDefault="00D85179">
            <w:pPr>
              <w:rPr>
                <w:sz w:val="20"/>
                <w:szCs w:val="20"/>
              </w:rPr>
            </w:pPr>
            <w:r w:rsidRPr="0036295D">
              <w:rPr>
                <w:sz w:val="20"/>
                <w:szCs w:val="20"/>
              </w:rPr>
              <w:t>Name letters of the alphabet.</w:t>
            </w:r>
          </w:p>
        </w:tc>
        <w:tc>
          <w:tcPr>
            <w:tcW w:w="3081" w:type="dxa"/>
          </w:tcPr>
          <w:p w:rsidR="00C553AB" w:rsidRPr="0036295D" w:rsidRDefault="00D85179">
            <w:pPr>
              <w:rPr>
                <w:sz w:val="20"/>
                <w:szCs w:val="20"/>
              </w:rPr>
            </w:pPr>
            <w:r w:rsidRPr="0036295D">
              <w:rPr>
                <w:sz w:val="20"/>
                <w:szCs w:val="20"/>
              </w:rPr>
              <w:t>Leave spaces between words</w:t>
            </w:r>
          </w:p>
        </w:tc>
      </w:tr>
      <w:tr w:rsidR="00C553AB" w:rsidRPr="0036295D" w:rsidTr="00C553AB">
        <w:tc>
          <w:tcPr>
            <w:tcW w:w="3080" w:type="dxa"/>
          </w:tcPr>
          <w:p w:rsidR="00C553AB" w:rsidRPr="0036295D" w:rsidRDefault="00C553AB" w:rsidP="00C553AB">
            <w:pPr>
              <w:rPr>
                <w:sz w:val="20"/>
                <w:szCs w:val="20"/>
              </w:rPr>
            </w:pPr>
            <w:r w:rsidRPr="0036295D">
              <w:rPr>
                <w:sz w:val="20"/>
                <w:szCs w:val="20"/>
              </w:rPr>
              <w:t>Read accurately by blending sounds.</w:t>
            </w:r>
          </w:p>
        </w:tc>
        <w:tc>
          <w:tcPr>
            <w:tcW w:w="3081" w:type="dxa"/>
          </w:tcPr>
          <w:p w:rsidR="00C553AB" w:rsidRPr="0036295D" w:rsidRDefault="00D85179" w:rsidP="00D85179">
            <w:pPr>
              <w:rPr>
                <w:sz w:val="20"/>
                <w:szCs w:val="20"/>
              </w:rPr>
            </w:pPr>
            <w:r w:rsidRPr="0036295D">
              <w:rPr>
                <w:sz w:val="20"/>
                <w:szCs w:val="20"/>
              </w:rPr>
              <w:t>Spell very common “exception” words.</w:t>
            </w:r>
          </w:p>
        </w:tc>
        <w:tc>
          <w:tcPr>
            <w:tcW w:w="3081" w:type="dxa"/>
          </w:tcPr>
          <w:p w:rsidR="00C553AB" w:rsidRPr="0036295D" w:rsidRDefault="00D85179">
            <w:pPr>
              <w:rPr>
                <w:sz w:val="20"/>
                <w:szCs w:val="20"/>
              </w:rPr>
            </w:pPr>
            <w:r w:rsidRPr="0036295D">
              <w:rPr>
                <w:sz w:val="20"/>
                <w:szCs w:val="20"/>
              </w:rPr>
              <w:t>Begin to use basic punctuation</w:t>
            </w:r>
            <w:proofErr w:type="gramStart"/>
            <w:r w:rsidRPr="0036295D">
              <w:rPr>
                <w:sz w:val="20"/>
                <w:szCs w:val="20"/>
              </w:rPr>
              <w:t>: .</w:t>
            </w:r>
            <w:proofErr w:type="gramEnd"/>
            <w:r w:rsidRPr="0036295D">
              <w:rPr>
                <w:sz w:val="20"/>
                <w:szCs w:val="20"/>
              </w:rPr>
              <w:t xml:space="preserve"> ? !</w:t>
            </w:r>
          </w:p>
        </w:tc>
      </w:tr>
      <w:tr w:rsidR="00C553AB" w:rsidRPr="0036295D" w:rsidTr="00C553AB">
        <w:tc>
          <w:tcPr>
            <w:tcW w:w="3080" w:type="dxa"/>
          </w:tcPr>
          <w:p w:rsidR="00C553AB" w:rsidRPr="0036295D" w:rsidRDefault="00D85179" w:rsidP="00C553AB">
            <w:pPr>
              <w:rPr>
                <w:sz w:val="20"/>
                <w:szCs w:val="20"/>
              </w:rPr>
            </w:pPr>
            <w:r w:rsidRPr="0036295D">
              <w:rPr>
                <w:sz w:val="20"/>
                <w:szCs w:val="20"/>
              </w:rPr>
              <w:t>Read words with very common suffixes.</w:t>
            </w:r>
          </w:p>
        </w:tc>
        <w:tc>
          <w:tcPr>
            <w:tcW w:w="3081" w:type="dxa"/>
          </w:tcPr>
          <w:p w:rsidR="00C553AB" w:rsidRPr="0036295D" w:rsidRDefault="00D85179">
            <w:pPr>
              <w:rPr>
                <w:sz w:val="20"/>
                <w:szCs w:val="20"/>
              </w:rPr>
            </w:pPr>
            <w:r w:rsidRPr="0036295D">
              <w:rPr>
                <w:sz w:val="20"/>
                <w:szCs w:val="20"/>
              </w:rPr>
              <w:t>Spell the days of the week.</w:t>
            </w:r>
          </w:p>
        </w:tc>
        <w:tc>
          <w:tcPr>
            <w:tcW w:w="3081" w:type="dxa"/>
          </w:tcPr>
          <w:p w:rsidR="00C553AB" w:rsidRPr="0036295D" w:rsidRDefault="00D85179">
            <w:pPr>
              <w:rPr>
                <w:sz w:val="20"/>
                <w:szCs w:val="20"/>
              </w:rPr>
            </w:pPr>
            <w:r w:rsidRPr="0036295D">
              <w:rPr>
                <w:sz w:val="20"/>
                <w:szCs w:val="20"/>
              </w:rPr>
              <w:t>Use capital letters for proper nouns.</w:t>
            </w:r>
          </w:p>
        </w:tc>
      </w:tr>
      <w:tr w:rsidR="00C553AB" w:rsidRPr="0036295D" w:rsidTr="00C553AB">
        <w:tc>
          <w:tcPr>
            <w:tcW w:w="3080" w:type="dxa"/>
          </w:tcPr>
          <w:p w:rsidR="00C553AB" w:rsidRPr="0036295D" w:rsidRDefault="00C553AB">
            <w:pPr>
              <w:rPr>
                <w:sz w:val="20"/>
                <w:szCs w:val="20"/>
              </w:rPr>
            </w:pPr>
            <w:r w:rsidRPr="0036295D">
              <w:rPr>
                <w:sz w:val="20"/>
                <w:szCs w:val="20"/>
              </w:rPr>
              <w:t>Read contractions and understand purpose</w:t>
            </w:r>
            <w:r w:rsidR="00D85179" w:rsidRPr="0036295D">
              <w:rPr>
                <w:sz w:val="20"/>
                <w:szCs w:val="20"/>
              </w:rPr>
              <w:t>.</w:t>
            </w:r>
          </w:p>
        </w:tc>
        <w:tc>
          <w:tcPr>
            <w:tcW w:w="3081" w:type="dxa"/>
          </w:tcPr>
          <w:p w:rsidR="00C553AB" w:rsidRPr="0036295D" w:rsidRDefault="00D85179">
            <w:pPr>
              <w:rPr>
                <w:sz w:val="20"/>
                <w:szCs w:val="20"/>
              </w:rPr>
            </w:pPr>
            <w:r w:rsidRPr="0036295D">
              <w:rPr>
                <w:sz w:val="20"/>
                <w:szCs w:val="20"/>
              </w:rPr>
              <w:t>Use very common prefixes and suffixes.</w:t>
            </w:r>
          </w:p>
        </w:tc>
        <w:tc>
          <w:tcPr>
            <w:tcW w:w="3081" w:type="dxa"/>
          </w:tcPr>
          <w:p w:rsidR="00C553AB" w:rsidRPr="0036295D" w:rsidRDefault="00D85179">
            <w:pPr>
              <w:rPr>
                <w:sz w:val="20"/>
                <w:szCs w:val="20"/>
              </w:rPr>
            </w:pPr>
            <w:r w:rsidRPr="0036295D">
              <w:rPr>
                <w:sz w:val="20"/>
                <w:szCs w:val="20"/>
              </w:rPr>
              <w:t>Use common plural and verb suffixes</w:t>
            </w:r>
          </w:p>
        </w:tc>
      </w:tr>
      <w:tr w:rsidR="00C553AB" w:rsidRPr="0036295D" w:rsidTr="00C553AB">
        <w:tc>
          <w:tcPr>
            <w:tcW w:w="3080" w:type="dxa"/>
          </w:tcPr>
          <w:p w:rsidR="00C553AB" w:rsidRPr="0036295D" w:rsidRDefault="00D85179">
            <w:pPr>
              <w:rPr>
                <w:sz w:val="20"/>
                <w:szCs w:val="20"/>
              </w:rPr>
            </w:pPr>
            <w:r w:rsidRPr="0036295D">
              <w:rPr>
                <w:sz w:val="20"/>
                <w:szCs w:val="20"/>
              </w:rPr>
              <w:t>Read phonics books aloud.</w:t>
            </w:r>
          </w:p>
        </w:tc>
        <w:tc>
          <w:tcPr>
            <w:tcW w:w="3081" w:type="dxa"/>
          </w:tcPr>
          <w:p w:rsidR="00C553AB" w:rsidRPr="0036295D" w:rsidRDefault="00D85179">
            <w:pPr>
              <w:rPr>
                <w:sz w:val="20"/>
                <w:szCs w:val="20"/>
              </w:rPr>
            </w:pPr>
            <w:r w:rsidRPr="0036295D">
              <w:rPr>
                <w:sz w:val="20"/>
                <w:szCs w:val="20"/>
              </w:rPr>
              <w:t>Form lower case letters correctly.</w:t>
            </w:r>
          </w:p>
        </w:tc>
        <w:tc>
          <w:tcPr>
            <w:tcW w:w="3081" w:type="dxa"/>
          </w:tcPr>
          <w:p w:rsidR="00C553AB" w:rsidRPr="0036295D" w:rsidRDefault="00C553AB">
            <w:pPr>
              <w:rPr>
                <w:sz w:val="20"/>
                <w:szCs w:val="20"/>
              </w:rPr>
            </w:pPr>
          </w:p>
        </w:tc>
      </w:tr>
      <w:tr w:rsidR="00C553AB" w:rsidRPr="0036295D" w:rsidTr="00C553AB">
        <w:tc>
          <w:tcPr>
            <w:tcW w:w="3080" w:type="dxa"/>
          </w:tcPr>
          <w:p w:rsidR="00C553AB" w:rsidRPr="0036295D" w:rsidRDefault="00D85179">
            <w:pPr>
              <w:rPr>
                <w:sz w:val="20"/>
                <w:szCs w:val="20"/>
              </w:rPr>
            </w:pPr>
            <w:r w:rsidRPr="0036295D">
              <w:rPr>
                <w:sz w:val="20"/>
                <w:szCs w:val="20"/>
              </w:rPr>
              <w:t>Link reading to own experiences.</w:t>
            </w:r>
          </w:p>
        </w:tc>
        <w:tc>
          <w:tcPr>
            <w:tcW w:w="3081" w:type="dxa"/>
          </w:tcPr>
          <w:p w:rsidR="00C553AB" w:rsidRPr="0036295D" w:rsidRDefault="00D85179">
            <w:pPr>
              <w:rPr>
                <w:sz w:val="20"/>
                <w:szCs w:val="20"/>
              </w:rPr>
            </w:pPr>
            <w:r w:rsidRPr="0036295D">
              <w:rPr>
                <w:sz w:val="20"/>
                <w:szCs w:val="20"/>
              </w:rPr>
              <w:t>Form capital letters and digits.</w:t>
            </w:r>
          </w:p>
          <w:p w:rsidR="00D85179" w:rsidRPr="0036295D" w:rsidRDefault="00D85179">
            <w:pPr>
              <w:rPr>
                <w:sz w:val="20"/>
                <w:szCs w:val="20"/>
              </w:rPr>
            </w:pPr>
          </w:p>
        </w:tc>
        <w:tc>
          <w:tcPr>
            <w:tcW w:w="3081" w:type="dxa"/>
          </w:tcPr>
          <w:p w:rsidR="00C553AB" w:rsidRPr="0036295D" w:rsidRDefault="0036295D" w:rsidP="00D85179">
            <w:pPr>
              <w:rPr>
                <w:sz w:val="20"/>
                <w:szCs w:val="20"/>
              </w:rPr>
            </w:pPr>
            <w:r w:rsidRPr="0036295D">
              <w:rPr>
                <w:b/>
                <w:sz w:val="20"/>
                <w:szCs w:val="20"/>
              </w:rPr>
              <w:t>Speaking and L</w:t>
            </w:r>
            <w:r w:rsidR="00D85179" w:rsidRPr="0036295D">
              <w:rPr>
                <w:b/>
                <w:sz w:val="20"/>
                <w:szCs w:val="20"/>
              </w:rPr>
              <w:t>istening</w:t>
            </w:r>
            <w:r w:rsidRPr="0036295D">
              <w:rPr>
                <w:sz w:val="20"/>
                <w:szCs w:val="20"/>
              </w:rPr>
              <w:t>.</w:t>
            </w:r>
          </w:p>
        </w:tc>
      </w:tr>
      <w:tr w:rsidR="00C553AB" w:rsidRPr="0036295D" w:rsidTr="00C553AB">
        <w:tc>
          <w:tcPr>
            <w:tcW w:w="3080" w:type="dxa"/>
          </w:tcPr>
          <w:p w:rsidR="00D85179" w:rsidRPr="0036295D" w:rsidRDefault="00D85179">
            <w:pPr>
              <w:rPr>
                <w:sz w:val="20"/>
                <w:szCs w:val="20"/>
              </w:rPr>
            </w:pPr>
            <w:r w:rsidRPr="0036295D">
              <w:rPr>
                <w:sz w:val="20"/>
                <w:szCs w:val="20"/>
              </w:rPr>
              <w:t>Join in with predictable phrases.</w:t>
            </w:r>
          </w:p>
        </w:tc>
        <w:tc>
          <w:tcPr>
            <w:tcW w:w="3081" w:type="dxa"/>
          </w:tcPr>
          <w:p w:rsidR="00C553AB" w:rsidRPr="0036295D" w:rsidRDefault="00D85179">
            <w:pPr>
              <w:rPr>
                <w:sz w:val="20"/>
                <w:szCs w:val="20"/>
              </w:rPr>
            </w:pPr>
            <w:r w:rsidRPr="0036295D">
              <w:rPr>
                <w:sz w:val="20"/>
                <w:szCs w:val="20"/>
              </w:rPr>
              <w:t>Compose sentences orally before writing.</w:t>
            </w:r>
          </w:p>
        </w:tc>
        <w:tc>
          <w:tcPr>
            <w:tcW w:w="3081" w:type="dxa"/>
          </w:tcPr>
          <w:p w:rsidR="00C553AB" w:rsidRPr="0036295D" w:rsidRDefault="0036295D">
            <w:pPr>
              <w:rPr>
                <w:sz w:val="20"/>
                <w:szCs w:val="20"/>
              </w:rPr>
            </w:pPr>
            <w:r w:rsidRPr="0036295D">
              <w:rPr>
                <w:sz w:val="20"/>
                <w:szCs w:val="20"/>
              </w:rPr>
              <w:t>Listen and respond appropriately.</w:t>
            </w:r>
          </w:p>
        </w:tc>
      </w:tr>
      <w:tr w:rsidR="00C553AB" w:rsidRPr="0036295D" w:rsidTr="00C553AB">
        <w:tc>
          <w:tcPr>
            <w:tcW w:w="3080" w:type="dxa"/>
          </w:tcPr>
          <w:p w:rsidR="00C553AB" w:rsidRPr="0036295D" w:rsidRDefault="00D85179">
            <w:pPr>
              <w:rPr>
                <w:sz w:val="20"/>
                <w:szCs w:val="20"/>
              </w:rPr>
            </w:pPr>
            <w:r w:rsidRPr="0036295D">
              <w:rPr>
                <w:sz w:val="20"/>
                <w:szCs w:val="20"/>
              </w:rPr>
              <w:t>Discuss significance of title and events.</w:t>
            </w:r>
          </w:p>
        </w:tc>
        <w:tc>
          <w:tcPr>
            <w:tcW w:w="3081" w:type="dxa"/>
          </w:tcPr>
          <w:p w:rsidR="00C553AB" w:rsidRPr="0036295D" w:rsidRDefault="00D85179">
            <w:pPr>
              <w:rPr>
                <w:sz w:val="20"/>
                <w:szCs w:val="20"/>
              </w:rPr>
            </w:pPr>
            <w:r w:rsidRPr="0036295D">
              <w:rPr>
                <w:sz w:val="20"/>
                <w:szCs w:val="20"/>
              </w:rPr>
              <w:t>Read own writing to peers or teachers.</w:t>
            </w:r>
          </w:p>
        </w:tc>
        <w:tc>
          <w:tcPr>
            <w:tcW w:w="3081" w:type="dxa"/>
          </w:tcPr>
          <w:p w:rsidR="00C553AB" w:rsidRPr="0036295D" w:rsidRDefault="0036295D">
            <w:pPr>
              <w:rPr>
                <w:sz w:val="20"/>
                <w:szCs w:val="20"/>
              </w:rPr>
            </w:pPr>
            <w:r w:rsidRPr="0036295D">
              <w:rPr>
                <w:sz w:val="20"/>
                <w:szCs w:val="20"/>
              </w:rPr>
              <w:t>Ask relevant questions.</w:t>
            </w:r>
          </w:p>
        </w:tc>
      </w:tr>
      <w:tr w:rsidR="00D85179" w:rsidRPr="0036295D" w:rsidTr="00C553AB">
        <w:tc>
          <w:tcPr>
            <w:tcW w:w="3080" w:type="dxa"/>
          </w:tcPr>
          <w:p w:rsidR="00D85179" w:rsidRPr="0036295D" w:rsidRDefault="00D85179">
            <w:pPr>
              <w:rPr>
                <w:sz w:val="20"/>
                <w:szCs w:val="20"/>
              </w:rPr>
            </w:pPr>
            <w:r w:rsidRPr="0036295D">
              <w:rPr>
                <w:sz w:val="20"/>
                <w:szCs w:val="20"/>
              </w:rPr>
              <w:t>Make simple predictions.</w:t>
            </w:r>
          </w:p>
          <w:p w:rsidR="00D85179" w:rsidRPr="0036295D" w:rsidRDefault="00D85179">
            <w:pPr>
              <w:rPr>
                <w:sz w:val="20"/>
                <w:szCs w:val="20"/>
              </w:rPr>
            </w:pPr>
          </w:p>
        </w:tc>
        <w:tc>
          <w:tcPr>
            <w:tcW w:w="3081" w:type="dxa"/>
          </w:tcPr>
          <w:p w:rsidR="00D85179" w:rsidRPr="0036295D" w:rsidRDefault="00D85179">
            <w:pPr>
              <w:rPr>
                <w:sz w:val="20"/>
                <w:szCs w:val="20"/>
              </w:rPr>
            </w:pPr>
          </w:p>
        </w:tc>
        <w:tc>
          <w:tcPr>
            <w:tcW w:w="3081" w:type="dxa"/>
          </w:tcPr>
          <w:p w:rsidR="00D85179" w:rsidRPr="0036295D" w:rsidRDefault="0036295D">
            <w:pPr>
              <w:rPr>
                <w:sz w:val="20"/>
                <w:szCs w:val="20"/>
              </w:rPr>
            </w:pPr>
            <w:r w:rsidRPr="0036295D">
              <w:rPr>
                <w:sz w:val="20"/>
                <w:szCs w:val="20"/>
              </w:rPr>
              <w:t>Maintain attention and participate.</w:t>
            </w:r>
          </w:p>
        </w:tc>
      </w:tr>
    </w:tbl>
    <w:p w:rsidR="00C553AB" w:rsidRDefault="00C553AB"/>
    <w:p w:rsidR="0036295D" w:rsidRPr="00021961" w:rsidRDefault="00127BF7">
      <w:pPr>
        <w:rPr>
          <w:b/>
        </w:rPr>
      </w:pPr>
      <w:proofErr w:type="gramStart"/>
      <w:r w:rsidRPr="00021961">
        <w:rPr>
          <w:b/>
        </w:rPr>
        <w:lastRenderedPageBreak/>
        <w:t>Year Two Programme of Study.</w:t>
      </w:r>
      <w:proofErr w:type="gramEnd"/>
    </w:p>
    <w:tbl>
      <w:tblPr>
        <w:tblStyle w:val="TableGrid"/>
        <w:tblW w:w="0" w:type="auto"/>
        <w:tblLook w:val="04A0" w:firstRow="1" w:lastRow="0" w:firstColumn="1" w:lastColumn="0" w:noHBand="0" w:noVBand="1"/>
      </w:tblPr>
      <w:tblGrid>
        <w:gridCol w:w="3080"/>
        <w:gridCol w:w="3081"/>
        <w:gridCol w:w="3081"/>
      </w:tblGrid>
      <w:tr w:rsidR="0036295D" w:rsidRPr="004639D5" w:rsidTr="0036295D">
        <w:tc>
          <w:tcPr>
            <w:tcW w:w="3080" w:type="dxa"/>
          </w:tcPr>
          <w:p w:rsidR="0036295D" w:rsidRPr="004639D5" w:rsidRDefault="0036295D" w:rsidP="0036295D">
            <w:pPr>
              <w:rPr>
                <w:b/>
              </w:rPr>
            </w:pPr>
            <w:r w:rsidRPr="004639D5">
              <w:rPr>
                <w:b/>
              </w:rPr>
              <w:t>Reading</w:t>
            </w:r>
          </w:p>
        </w:tc>
        <w:tc>
          <w:tcPr>
            <w:tcW w:w="3081" w:type="dxa"/>
          </w:tcPr>
          <w:p w:rsidR="0036295D" w:rsidRPr="004639D5" w:rsidRDefault="0036295D">
            <w:pPr>
              <w:rPr>
                <w:b/>
              </w:rPr>
            </w:pPr>
            <w:r w:rsidRPr="004639D5">
              <w:rPr>
                <w:b/>
              </w:rPr>
              <w:t xml:space="preserve">Writing </w:t>
            </w:r>
          </w:p>
        </w:tc>
        <w:tc>
          <w:tcPr>
            <w:tcW w:w="3081" w:type="dxa"/>
          </w:tcPr>
          <w:p w:rsidR="0036295D" w:rsidRPr="004639D5" w:rsidRDefault="0036295D">
            <w:pPr>
              <w:rPr>
                <w:b/>
              </w:rPr>
            </w:pPr>
            <w:r w:rsidRPr="004639D5">
              <w:rPr>
                <w:b/>
              </w:rPr>
              <w:t>Grammar</w:t>
            </w:r>
          </w:p>
        </w:tc>
      </w:tr>
      <w:tr w:rsidR="0036295D" w:rsidTr="0036295D">
        <w:tc>
          <w:tcPr>
            <w:tcW w:w="3080" w:type="dxa"/>
          </w:tcPr>
          <w:p w:rsidR="0036295D" w:rsidRDefault="0036295D">
            <w:r>
              <w:t>Develop phonics until reading secure.</w:t>
            </w:r>
          </w:p>
        </w:tc>
        <w:tc>
          <w:tcPr>
            <w:tcW w:w="3081" w:type="dxa"/>
          </w:tcPr>
          <w:p w:rsidR="0036295D" w:rsidRDefault="004639D5">
            <w:r>
              <w:t>Spell by segmenting into phonemes.</w:t>
            </w:r>
          </w:p>
        </w:tc>
        <w:tc>
          <w:tcPr>
            <w:tcW w:w="3081" w:type="dxa"/>
          </w:tcPr>
          <w:p w:rsidR="0036295D" w:rsidRDefault="00127BF7">
            <w:proofErr w:type="gramStart"/>
            <w:r>
              <w:t>Use .</w:t>
            </w:r>
            <w:proofErr w:type="gramEnd"/>
            <w:r>
              <w:t xml:space="preserve"> ! ? , and ‘</w:t>
            </w:r>
          </w:p>
        </w:tc>
      </w:tr>
      <w:tr w:rsidR="0036295D" w:rsidTr="0036295D">
        <w:tc>
          <w:tcPr>
            <w:tcW w:w="3080" w:type="dxa"/>
          </w:tcPr>
          <w:p w:rsidR="0036295D" w:rsidRDefault="0036295D">
            <w:r>
              <w:t>Read common suffixes.</w:t>
            </w:r>
          </w:p>
        </w:tc>
        <w:tc>
          <w:tcPr>
            <w:tcW w:w="3081" w:type="dxa"/>
          </w:tcPr>
          <w:p w:rsidR="0036295D" w:rsidRDefault="004639D5">
            <w:r>
              <w:t>Learn to spell common exception words.</w:t>
            </w:r>
          </w:p>
        </w:tc>
        <w:tc>
          <w:tcPr>
            <w:tcW w:w="3081" w:type="dxa"/>
          </w:tcPr>
          <w:p w:rsidR="0036295D" w:rsidRDefault="00127BF7">
            <w:r>
              <w:t>Use simple conjunctions.</w:t>
            </w:r>
          </w:p>
        </w:tc>
      </w:tr>
      <w:tr w:rsidR="0036295D" w:rsidTr="0036295D">
        <w:tc>
          <w:tcPr>
            <w:tcW w:w="3080" w:type="dxa"/>
          </w:tcPr>
          <w:p w:rsidR="0036295D" w:rsidRDefault="0036295D">
            <w:r>
              <w:t>Read and re-read phonic appropriate books.</w:t>
            </w:r>
          </w:p>
        </w:tc>
        <w:tc>
          <w:tcPr>
            <w:tcW w:w="3081" w:type="dxa"/>
          </w:tcPr>
          <w:p w:rsidR="0036295D" w:rsidRDefault="004639D5">
            <w:r>
              <w:t>Spell using common suffixes, etc.</w:t>
            </w:r>
          </w:p>
        </w:tc>
        <w:tc>
          <w:tcPr>
            <w:tcW w:w="3081" w:type="dxa"/>
          </w:tcPr>
          <w:p w:rsidR="0036295D" w:rsidRDefault="00127BF7">
            <w:r>
              <w:t>Begin to expand noun phrases</w:t>
            </w:r>
          </w:p>
        </w:tc>
      </w:tr>
      <w:tr w:rsidR="0036295D" w:rsidTr="0036295D">
        <w:tc>
          <w:tcPr>
            <w:tcW w:w="3080" w:type="dxa"/>
          </w:tcPr>
          <w:p w:rsidR="0036295D" w:rsidRDefault="0036295D">
            <w:r>
              <w:t>Read common “exception” words.</w:t>
            </w:r>
          </w:p>
        </w:tc>
        <w:tc>
          <w:tcPr>
            <w:tcW w:w="3081" w:type="dxa"/>
          </w:tcPr>
          <w:p w:rsidR="0036295D" w:rsidRDefault="004639D5">
            <w:r>
              <w:t>Use appropriate size letters and spaces.</w:t>
            </w:r>
          </w:p>
        </w:tc>
        <w:tc>
          <w:tcPr>
            <w:tcW w:w="3081" w:type="dxa"/>
          </w:tcPr>
          <w:p w:rsidR="0036295D" w:rsidRDefault="00127BF7">
            <w:r>
              <w:t>Use some features of standard English.</w:t>
            </w:r>
          </w:p>
        </w:tc>
      </w:tr>
      <w:tr w:rsidR="0036295D" w:rsidTr="0036295D">
        <w:tc>
          <w:tcPr>
            <w:tcW w:w="3080" w:type="dxa"/>
          </w:tcPr>
          <w:p w:rsidR="0036295D" w:rsidRDefault="0036295D">
            <w:r>
              <w:t>Discuss and express views about fiction, non-fiction and p</w:t>
            </w:r>
            <w:r w:rsidR="004639D5">
              <w:t>o</w:t>
            </w:r>
            <w:r>
              <w:t>etry</w:t>
            </w:r>
            <w:r w:rsidR="004639D5">
              <w:t>.</w:t>
            </w:r>
          </w:p>
        </w:tc>
        <w:tc>
          <w:tcPr>
            <w:tcW w:w="3081" w:type="dxa"/>
          </w:tcPr>
          <w:p w:rsidR="0036295D" w:rsidRDefault="004639D5">
            <w:r>
              <w:t xml:space="preserve">Develop positive attitude and stamina for writing. </w:t>
            </w:r>
          </w:p>
        </w:tc>
        <w:tc>
          <w:tcPr>
            <w:tcW w:w="3081" w:type="dxa"/>
          </w:tcPr>
          <w:p w:rsidR="0036295D" w:rsidRDefault="0036295D"/>
        </w:tc>
      </w:tr>
      <w:tr w:rsidR="0036295D" w:rsidTr="0036295D">
        <w:tc>
          <w:tcPr>
            <w:tcW w:w="3080" w:type="dxa"/>
          </w:tcPr>
          <w:p w:rsidR="0036295D" w:rsidRDefault="004639D5">
            <w:r>
              <w:t>Become familiar with and retell stories.</w:t>
            </w:r>
          </w:p>
          <w:p w:rsidR="004639D5" w:rsidRDefault="004639D5"/>
        </w:tc>
        <w:tc>
          <w:tcPr>
            <w:tcW w:w="3081" w:type="dxa"/>
          </w:tcPr>
          <w:p w:rsidR="0036295D" w:rsidRDefault="004639D5">
            <w:r>
              <w:t>Begin to plan ideas for writing.</w:t>
            </w:r>
          </w:p>
        </w:tc>
        <w:tc>
          <w:tcPr>
            <w:tcW w:w="3081" w:type="dxa"/>
          </w:tcPr>
          <w:p w:rsidR="0036295D" w:rsidRDefault="00127BF7">
            <w:r>
              <w:t>Speaking and listening</w:t>
            </w:r>
          </w:p>
        </w:tc>
      </w:tr>
      <w:tr w:rsidR="004639D5" w:rsidTr="0036295D">
        <w:tc>
          <w:tcPr>
            <w:tcW w:w="3080" w:type="dxa"/>
          </w:tcPr>
          <w:p w:rsidR="004639D5" w:rsidRDefault="004639D5">
            <w:r>
              <w:t>Ask and answer questions; make predictions.</w:t>
            </w:r>
          </w:p>
        </w:tc>
        <w:tc>
          <w:tcPr>
            <w:tcW w:w="3081" w:type="dxa"/>
          </w:tcPr>
          <w:p w:rsidR="004639D5" w:rsidRDefault="004639D5" w:rsidP="004A1502">
            <w:r>
              <w:t>Record ideas sentence by sentence.</w:t>
            </w:r>
          </w:p>
        </w:tc>
        <w:tc>
          <w:tcPr>
            <w:tcW w:w="3081" w:type="dxa"/>
          </w:tcPr>
          <w:p w:rsidR="004639D5" w:rsidRDefault="00127BF7">
            <w:r>
              <w:t>Articulate and justify answers</w:t>
            </w:r>
          </w:p>
        </w:tc>
      </w:tr>
      <w:tr w:rsidR="004639D5" w:rsidTr="0036295D">
        <w:tc>
          <w:tcPr>
            <w:tcW w:w="3080" w:type="dxa"/>
          </w:tcPr>
          <w:p w:rsidR="004639D5" w:rsidRDefault="004639D5">
            <w:r>
              <w:t>Begin to make inferences.</w:t>
            </w:r>
          </w:p>
        </w:tc>
        <w:tc>
          <w:tcPr>
            <w:tcW w:w="3081" w:type="dxa"/>
          </w:tcPr>
          <w:p w:rsidR="004639D5" w:rsidRDefault="004639D5" w:rsidP="004A1502">
            <w:r>
              <w:t>Make simple additions and changes after proof reading.</w:t>
            </w:r>
          </w:p>
        </w:tc>
        <w:tc>
          <w:tcPr>
            <w:tcW w:w="3081" w:type="dxa"/>
          </w:tcPr>
          <w:p w:rsidR="004639D5" w:rsidRDefault="00127BF7">
            <w:r>
              <w:t>Initiate and respond to comments.</w:t>
            </w:r>
          </w:p>
        </w:tc>
      </w:tr>
      <w:tr w:rsidR="004639D5" w:rsidTr="0036295D">
        <w:tc>
          <w:tcPr>
            <w:tcW w:w="3080" w:type="dxa"/>
          </w:tcPr>
          <w:p w:rsidR="004639D5" w:rsidRDefault="004639D5"/>
        </w:tc>
        <w:tc>
          <w:tcPr>
            <w:tcW w:w="3081" w:type="dxa"/>
          </w:tcPr>
          <w:p w:rsidR="004639D5" w:rsidRDefault="004639D5"/>
        </w:tc>
        <w:tc>
          <w:tcPr>
            <w:tcW w:w="3081" w:type="dxa"/>
          </w:tcPr>
          <w:p w:rsidR="004639D5" w:rsidRDefault="00127BF7">
            <w:r>
              <w:t>Use spoken language to develop understanding.</w:t>
            </w:r>
          </w:p>
        </w:tc>
      </w:tr>
    </w:tbl>
    <w:p w:rsidR="00127BF7" w:rsidRDefault="00127BF7"/>
    <w:p w:rsidR="00127BF7" w:rsidRDefault="00127BF7">
      <w:r>
        <w:t xml:space="preserve">When pupils become secure in these skills they will be given opportunities to “master” them in a wider range of contexts and with increasing independence before moving onto the </w:t>
      </w:r>
      <w:proofErr w:type="gramStart"/>
      <w:r>
        <w:t>next  programme</w:t>
      </w:r>
      <w:proofErr w:type="gramEnd"/>
      <w:r>
        <w:t xml:space="preserve"> of study.</w:t>
      </w:r>
      <w:r w:rsidR="0040387F">
        <w:t xml:space="preserve"> </w:t>
      </w:r>
    </w:p>
    <w:sectPr w:rsidR="00127BF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792F"/>
    <w:rsid w:val="00021961"/>
    <w:rsid w:val="00127BF7"/>
    <w:rsid w:val="002B792F"/>
    <w:rsid w:val="0036295D"/>
    <w:rsid w:val="0040387F"/>
    <w:rsid w:val="004639D5"/>
    <w:rsid w:val="00665998"/>
    <w:rsid w:val="0076630A"/>
    <w:rsid w:val="00880469"/>
    <w:rsid w:val="00A636DD"/>
    <w:rsid w:val="00C553AB"/>
    <w:rsid w:val="00C81349"/>
    <w:rsid w:val="00C85F9C"/>
    <w:rsid w:val="00D85179"/>
    <w:rsid w:val="00DC3777"/>
    <w:rsid w:val="00F75C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553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553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570</Words>
  <Characters>3255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Northumberland County Coucil</Company>
  <LinksUpToDate>false</LinksUpToDate>
  <CharactersWithSpaces>3818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Eileen</dc:creator>
  <cp:lastModifiedBy>Daniel, Eileen</cp:lastModifiedBy>
  <cp:revision>4</cp:revision>
  <cp:lastPrinted>2016-03-31T17:42:00Z</cp:lastPrinted>
  <dcterms:created xsi:type="dcterms:W3CDTF">2016-03-31T17:42:00Z</dcterms:created>
  <dcterms:modified xsi:type="dcterms:W3CDTF">2016-03-31T18:01:00Z</dcterms:modified>
</cp:coreProperties>
</file>